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Об областном конкурсе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лучшую организацию работы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среди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программой Еврейской автономной области «Содействие занятости населения и обеспечение безопасности труда» на 2024 – 2028 годы», утвержденной постановлением правительства Еврейской автономной области от 21.12.2023 № 571-пп,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Утвердить прилагаемое 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лучшую организацию работы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среди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правительства Еврейской автономной области от 07.07.2023 № 295-пп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«Об утверждении Порядка предоставления субсидии из областного бюджета организациям за лучшую организацию работы по охране труда».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0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850" w:bottom="1134" w:left="1701" w:header="680" w:footer="454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______________ № 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38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лучшую организацию работы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среди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Общие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областном конкурсе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лучшую организацию работы по охране труда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среди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Положение)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устанавливает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цели,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условия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проведения конкурса на лучшую организацию работы по охране труда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– Конкурс),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критерии отбора и оценки участников Конкурса, процедуру подведения итогов Конкурса.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Конкурс проводится в целях повышения эффективности проведения работ по охране труда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создания и обеспечения здоровых и безопасных условий труда, пропаганды и распространени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передового опыта по охране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также привлечение общественного внимания к области охраны труда и здоровья работников.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Организационно-техническое обеспечение проведения конкурса возлагается на департамент по труду и занятости населения правительства Еврейской автономной области (далее 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Департамент).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Условия участия в Конкурсе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Конкурс проводится по двум группам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стников Конкурса: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2.1.1. Организации с количеством работающих более 100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2.1.2. Организации с количеством работающих менее 100 человек.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участию в Конкурсе допускаются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организации, расположенные</w:t>
        <w:br/>
        <w:t xml:space="preserve">и зарегистрированные на территории Еврейской автономной области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Организация)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Организация на последний день приема заявок на участие                в Конкурсе (далее – Заявка) должна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у Организации отсутствует неисполненная обязанность по уплате  страховых взносов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Федеральным законом от 24.07.1998           № 125-ФЗ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Организация не находится в процессе реорганизации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(за исключением реорганизации в форме присоединения к ней другого юридического лица), ликвидации, в отношении нее не введена процедура банкротства, ее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упности превышает 25 процентов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участия в Конкурсе необходимы следующие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ументы (сведения) (далее – Конкурсные документы):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2.4.1. Заявка по форме, утвержденной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Департамента.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2.4.2. Карта показателей состояния условий и охраны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труда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форме,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Департамента.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2.4.3. Пояснительная записка о проводимых меро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приятиях </w:t>
        <w:br/>
        <w:t xml:space="preserve">по профилактике травматизма и профессиональных заболеваний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(форма произвольная).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2.4.4.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огласие Организации на публикацию (размещение)                      в информационно-телекоммуникационной сети «Интернет» информации об Организации, о подаваемой Заявке, иной информации об Организации, связанной с Конкурсом.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2.4.5. Сведения из налогового органа, подтверждающие отсутствие        у Организации неисполненной обязанности по уплате страховых взносов       в соответствии с Федеральным законом от 24.07.1998 № 125-ФЗ                    «Об обязательном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циальном страховании от несчастных случаев на производстве и профессиональных заболеваний.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2.5. Для участия в Конкурсе Организация представляет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Конкурсные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2.4.1 – 2.4.5 пункта 2.4 настоящего Положения.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документы, предусмотренные абзацем первым настоящего пункта, предоставляются Организациями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адресу:</w:t>
        <w:br/>
        <w:t xml:space="preserve">г. Биробиджан, просп. 60-летия СССР, 24 корп. 1, каб. 301 в сроки, предусмотренные подпунктом «а» пункта 4.2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 не вправе требовать от Организации представления сведений, предусмотренных подпунктом 2.4.5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 2.4 настоящего Положения. Организация вправе представить в Департамент указанные сведения по собственной инициативе.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если Организация не представила сведения, предусмотренные подпунктами 2.4.5 пункта 2.4 настоящего Положения, Департамен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в порядке межведомственного информационного взаимодействия может запросить их в соответствующих органах.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 и материалы, представленные на конкурс, не редактируются и не возвращаются.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 Основания для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участии в конкурсе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Основаниями для отказа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участии в 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установление факта недостоверности представленной Организацией информации;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несоответствие представленных Организацией документов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сведений) требованиям и условиям, определенным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 и 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настоящего Положения, или непредставление (представление не в полном объеме) документов и сведений, предусмотренных пунктом 2.4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 Положения;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center" w:pos="4677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неполучение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Конкурсным документам Организацией количества баллов, необходимого для преодоления порогового значения проходного балла, установленного Коллегией при департаменте по труду и занятости населения правительства Еврейской автономий области, состав которой 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твержден постановлением губернатора Еврейской автономной области        от 13.07.2018 № 179 «О коллегии при департаменте по труду и занятости населения правительства Еврейской автономной области» (далее – Коллегия).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3.2. Ответственность за достоверность представляемых документов          и сведений, указанных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стоящего Положения, несет Организация 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Прием и регистрация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проведения Конкурса Департамент в срок не позднее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 рабочих дней до даты начала приема Конкурсных документов, размещает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сайте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– Официальный сайт Департамента)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объявление о проведении Конкурса с указанием: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сроков проведения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даты начала подачи и окончания приема Конкурсных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наименования, места нахождения, почтового адреса, адреса электронной почты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требований к Организации в соответствии с пунктами 2.2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 и перечня Конкурсных документов, предоставляемых Организацией для подтве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рждения ее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подачи Конкурсных документов Организациями                     и требований, предъявляемых к форме и содержанию Конкурсных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отзыва Конкурсных документов, порядка возврата Конкурсных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определяющего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том числе основания для возврата Конкурсных документов, и порядка внесения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изменений в Конкурсные документы;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Организации разъяснений положений объявления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проведении Конкурса,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правил рассмотрения и оценки Конкурсных документов                      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оответствии с пу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 5.4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настоящего Положения;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даты размещения результатов Конкурса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официальном сайт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Департамент: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 прием и регистрацию Конкурсных документов (сведений)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ежегодно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01 по 30 апреля;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публикует информацию о всех организациях предоставивших заявки на участие в Конкурсе, в течении 10 календарных дней со дня окончаний приема Конкурсных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проверяет поступившие Конкурсные документы на их соответствие требованиям, установленным разделом 2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Условия участия в Конкурсе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Положения;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готовит и вносит на рассмотрение Коллегии предложения о допуске или отклонения Конкурсных документов, поданных Организациями на участие в Конкурсе.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об отклонении Конкурсных документов, поданных Организациями на участие в Конкурсе, принимается в случае: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несоответствия Организации требованиям, установленным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 и 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настоящего Положения;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несоответствия документов и сведений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 настоящего Положения;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недостоверности представленной Организацией информации, в том числе информации о месте ее нахождения и адресе;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подачи Организацией Конкурсных документов после даты и (или) времени, определенных для подачи Конкурсных документов;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готовит проект распоряжения правительства Еврейской автономной области по итогам Конкурса.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Оценка конкурсных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подведение итогов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одведение итогов Конкурса 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Коллегией.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10 рабочих дней со дня окончания сроков приема Конкурсных документов, предусмотренных 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настоящего Порядка, Департамент определяет дату заседания Коллегии для осуществления оценки Конкурсных документов в срок до </w:t>
      </w:r>
      <w:r>
        <w:rPr>
          <w:rFonts w:ascii="Times New Roman" w:hAnsi="Times New Roman"/>
          <w:sz w:val="28"/>
          <w:szCs w:val="28"/>
          <w:highlight w:val="white"/>
        </w:rPr>
        <w:t xml:space="preserve">20 мая текущего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Коллегия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оценке Конкурсных документов не вправе вступать          в контакты с Организациями, в том числе обсуждать поданные Конкурсные документы, напрямую запрашивать документы, информацию и (или) пояснения.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.4. Оценка Конкурсных документов, допущенных к участию                 в Конкурсе, осуществляется в соответствии с Методикой оценки Конкурсных документов на участие в Конкурсе, утвержденн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Депа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ртамента (далее – Методика) и опубликованной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Официальном сайте Департамента до начала приема Конкурсных документов.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.5. Конкурсные документы оцениваются Коллегией по критериям, определенным Методикой.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каждому критерию Коллегия присваивает Конкурсным документам от 0 до 10 баллов (целым числом) и оформляет оценочный лист, который направляет в Департамент.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Заседание Коллегии считается правомочным, если на нем присутствует не менее половины от общего числа членов Коллегии.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.6. Итоговый балл Конкурсных документов определяется как сумма средних баллов, присвоенных оценившими Конкурсные документы членами Коллегии по каждому критерию.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.7. Коллегия рассматривает представленные Конкурсные документы                и устанавливает пороговое значение итогового балла Конкурсных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учетом итоговых баллов Конкурсных документов, порогового значения проходного балла Конкурсных документов Коллегия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формирует рейтинг участников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определяет перечень Организаций, победивших             в Конкурсе.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5.9. При равном количестве итоговых баллов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Конкурсных документов,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рейтинг формируется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путем открытого голосования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простым большинством голосов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членов Коллегии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присутствующих на ее заседании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равенстве голосов голос председательствующего на заседании Коллегии является решающим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Итоги Конкурса утверждаются распоряжением правительства Еврейской автономной области на основании решения Коллегии.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Победители конкурса награждаются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дипломами.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5" w:h="16838" w:orient="portrait"/>
      <w:pgMar w:top="1134" w:right="850" w:bottom="1134" w:left="1701" w:header="680" w:footer="45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3430851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92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4">
    <w:name w:val="Heading 2"/>
    <w:basedOn w:val="722"/>
    <w:next w:val="722"/>
    <w:link w:val="7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5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2"/>
    <w:uiPriority w:val="10"/>
    <w:rPr>
      <w:sz w:val="48"/>
      <w:szCs w:val="48"/>
    </w:rPr>
  </w:style>
  <w:style w:type="character" w:styleId="744" w:customStyle="1">
    <w:name w:val="Subtitle Char"/>
    <w:basedOn w:val="732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spacing w:after="0" w:line="240" w:lineRule="auto"/>
    </w:pPr>
  </w:style>
  <w:style w:type="paragraph" w:styleId="759">
    <w:name w:val="Title"/>
    <w:basedOn w:val="722"/>
    <w:next w:val="722"/>
    <w:link w:val="760"/>
    <w:uiPriority w:val="10"/>
    <w:qFormat/>
    <w:pPr>
      <w:contextualSpacing/>
      <w:spacing w:before="300"/>
    </w:pPr>
    <w:rPr>
      <w:sz w:val="48"/>
      <w:szCs w:val="48"/>
    </w:rPr>
  </w:style>
  <w:style w:type="character" w:styleId="760" w:customStyle="1">
    <w:name w:val="Название Знак"/>
    <w:basedOn w:val="732"/>
    <w:link w:val="759"/>
    <w:uiPriority w:val="10"/>
    <w:rPr>
      <w:sz w:val="48"/>
      <w:szCs w:val="48"/>
    </w:rPr>
  </w:style>
  <w:style w:type="paragraph" w:styleId="761">
    <w:name w:val="Subtitle"/>
    <w:basedOn w:val="722"/>
    <w:next w:val="722"/>
    <w:link w:val="762"/>
    <w:uiPriority w:val="11"/>
    <w:qFormat/>
    <w:pPr>
      <w:spacing w:before="200"/>
    </w:pPr>
    <w:rPr>
      <w:sz w:val="24"/>
      <w:szCs w:val="24"/>
    </w:rPr>
  </w:style>
  <w:style w:type="character" w:styleId="762" w:customStyle="1">
    <w:name w:val="Подзаголовок Знак"/>
    <w:basedOn w:val="732"/>
    <w:link w:val="761"/>
    <w:uiPriority w:val="11"/>
    <w:rPr>
      <w:sz w:val="24"/>
      <w:szCs w:val="24"/>
    </w:rPr>
  </w:style>
  <w:style w:type="paragraph" w:styleId="763">
    <w:name w:val="Quote"/>
    <w:basedOn w:val="722"/>
    <w:next w:val="722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22"/>
    <w:next w:val="722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Header Char"/>
    <w:basedOn w:val="732"/>
    <w:uiPriority w:val="99"/>
  </w:style>
  <w:style w:type="character" w:styleId="768" w:customStyle="1">
    <w:name w:val="Footer Char"/>
    <w:basedOn w:val="732"/>
    <w:uiPriority w:val="99"/>
  </w:style>
  <w:style w:type="paragraph" w:styleId="769">
    <w:name w:val="Caption"/>
    <w:basedOn w:val="722"/>
    <w:next w:val="7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 w:customStyle="1">
    <w:name w:val="Plain Table 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6">
    <w:name w:val="footnote text"/>
    <w:basedOn w:val="722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32"/>
    <w:uiPriority w:val="99"/>
    <w:unhideWhenUsed/>
    <w:rPr>
      <w:vertAlign w:val="superscript"/>
    </w:rPr>
  </w:style>
  <w:style w:type="paragraph" w:styleId="899">
    <w:name w:val="endnote text"/>
    <w:basedOn w:val="722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32"/>
    <w:uiPriority w:val="99"/>
    <w:semiHidden/>
    <w:unhideWhenUsed/>
    <w:rPr>
      <w:vertAlign w:val="superscript"/>
    </w:rPr>
  </w:style>
  <w:style w:type="paragraph" w:styleId="902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03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04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5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6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7">
    <w:name w:val="table of figures"/>
    <w:basedOn w:val="722"/>
    <w:next w:val="722"/>
    <w:uiPriority w:val="99"/>
    <w:unhideWhenUsed/>
    <w:pPr>
      <w:spacing w:after="0"/>
    </w:pPr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1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2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1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1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6">
    <w:name w:val="Balloon Text"/>
    <w:basedOn w:val="722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32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Header"/>
    <w:basedOn w:val="722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32"/>
    <w:link w:val="918"/>
    <w:uiPriority w:val="99"/>
  </w:style>
  <w:style w:type="paragraph" w:styleId="920">
    <w:name w:val="Footer"/>
    <w:basedOn w:val="722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32"/>
    <w:link w:val="920"/>
    <w:uiPriority w:val="99"/>
  </w:style>
  <w:style w:type="paragraph" w:styleId="922">
    <w:name w:val="toc 2"/>
    <w:basedOn w:val="722"/>
    <w:next w:val="722"/>
    <w:uiPriority w:val="39"/>
    <w:unhideWhenUsed/>
    <w:pPr>
      <w:ind w:left="220"/>
      <w:spacing w:after="100"/>
    </w:pPr>
  </w:style>
  <w:style w:type="paragraph" w:styleId="923">
    <w:name w:val="toc 4"/>
    <w:basedOn w:val="722"/>
    <w:next w:val="722"/>
    <w:uiPriority w:val="39"/>
    <w:semiHidden/>
    <w:unhideWhenUsed/>
    <w:pPr>
      <w:ind w:left="660"/>
      <w:spacing w:after="100"/>
    </w:pPr>
  </w:style>
  <w:style w:type="paragraph" w:styleId="924">
    <w:name w:val="toc 3"/>
    <w:basedOn w:val="722"/>
    <w:next w:val="722"/>
    <w:uiPriority w:val="39"/>
    <w:unhideWhenUsed/>
    <w:pPr>
      <w:ind w:left="440"/>
      <w:spacing w:after="100"/>
    </w:pPr>
  </w:style>
  <w:style w:type="character" w:styleId="925">
    <w:name w:val="Hyperlink"/>
    <w:basedOn w:val="732"/>
    <w:uiPriority w:val="99"/>
    <w:unhideWhenUsed/>
    <w:rPr>
      <w:color w:val="0000ff" w:themeColor="hyperlink"/>
      <w:u w:val="single"/>
    </w:rPr>
  </w:style>
  <w:style w:type="character" w:styleId="926" w:customStyle="1">
    <w:name w:val="Заголовок 1 Знак"/>
    <w:basedOn w:val="732"/>
    <w:link w:val="7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7">
    <w:name w:val="toc 1"/>
    <w:basedOn w:val="722"/>
    <w:next w:val="722"/>
    <w:uiPriority w:val="39"/>
    <w:semiHidden/>
    <w:unhideWhenUsed/>
    <w:pPr>
      <w:spacing w:after="100"/>
    </w:pPr>
  </w:style>
  <w:style w:type="paragraph" w:styleId="928">
    <w:name w:val="TOC Heading"/>
    <w:basedOn w:val="723"/>
    <w:next w:val="722"/>
    <w:uiPriority w:val="39"/>
    <w:semiHidden/>
    <w:unhideWhenUsed/>
    <w:qFormat/>
    <w:pPr>
      <w:outlineLvl w:val="9"/>
    </w:pPr>
    <w:rPr>
      <w:lang w:eastAsia="ru-RU"/>
    </w:rPr>
  </w:style>
  <w:style w:type="numbering" w:styleId="929" w:customStyle="1">
    <w:name w:val="Нет списка1"/>
    <w:next w:val="734"/>
    <w:uiPriority w:val="99"/>
    <w:semiHidden/>
    <w:unhideWhenUsed/>
  </w:style>
  <w:style w:type="paragraph" w:styleId="930">
    <w:name w:val="List Paragraph"/>
    <w:basedOn w:val="722"/>
    <w:uiPriority w:val="34"/>
    <w:qFormat/>
    <w:pPr>
      <w:contextualSpacing/>
      <w:ind w:left="720"/>
    </w:pPr>
  </w:style>
  <w:style w:type="table" w:styleId="931">
    <w:name w:val="Table Grid"/>
    <w:basedOn w:val="7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Основной текст с отступом 31"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DB06-7084-4F98-ACF4-79B31E5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revision>44</cp:revision>
  <dcterms:created xsi:type="dcterms:W3CDTF">2023-01-30T06:44:00Z</dcterms:created>
  <dcterms:modified xsi:type="dcterms:W3CDTF">2024-07-08T06:31:35Z</dcterms:modified>
</cp:coreProperties>
</file>